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5294625B" w:rsidR="00C86989" w:rsidRDefault="008C5B04" w:rsidP="008C5B04">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SEARCH</w:t>
      </w:r>
      <w:r w:rsidR="00255120">
        <w:rPr>
          <w:rFonts w:asciiTheme="minorHAnsi" w:hAnsiTheme="minorHAnsi" w:cs="Calibri"/>
          <w:b/>
          <w:bCs/>
          <w:sz w:val="28"/>
        </w:rPr>
        <w:t xml:space="preserve"> </w:t>
      </w:r>
      <w:r w:rsidR="006F1AAD" w:rsidRPr="0008623A">
        <w:rPr>
          <w:rFonts w:asciiTheme="minorHAnsi" w:hAnsiTheme="minorHAnsi" w:cs="Calibri"/>
          <w:b/>
          <w:bCs/>
          <w:sz w:val="28"/>
        </w:rPr>
        <w:t xml:space="preserve">WARRANT </w:t>
      </w:r>
    </w:p>
    <w:p w14:paraId="218E31CD" w14:textId="74ABF125" w:rsidR="008C5B04" w:rsidRPr="008C5B04" w:rsidRDefault="003619D1" w:rsidP="00BD6890">
      <w:pPr>
        <w:tabs>
          <w:tab w:val="left" w:pos="1134"/>
          <w:tab w:val="left" w:pos="2342"/>
          <w:tab w:val="left" w:pos="4536"/>
          <w:tab w:val="right" w:pos="8789"/>
        </w:tabs>
        <w:spacing w:line="360" w:lineRule="auto"/>
        <w:jc w:val="center"/>
        <w:rPr>
          <w:rFonts w:asciiTheme="minorHAnsi" w:hAnsiTheme="minorHAnsi" w:cs="Calibri"/>
          <w:b/>
          <w:bCs/>
        </w:rPr>
      </w:pPr>
      <w:r>
        <w:rPr>
          <w:rFonts w:asciiTheme="minorHAnsi" w:hAnsiTheme="minorHAnsi" w:cs="Calibri"/>
          <w:b/>
          <w:bCs/>
        </w:rPr>
        <w:t xml:space="preserve">Petroleum (Submerged Lands) </w:t>
      </w:r>
      <w:r w:rsidR="008C5B04" w:rsidRPr="008C5B04">
        <w:rPr>
          <w:rFonts w:asciiTheme="minorHAnsi" w:hAnsiTheme="minorHAnsi" w:cs="Calibri"/>
          <w:b/>
          <w:bCs/>
        </w:rPr>
        <w:t>Act</w:t>
      </w:r>
      <w:r>
        <w:rPr>
          <w:rFonts w:asciiTheme="minorHAnsi" w:hAnsiTheme="minorHAnsi" w:cs="Calibri"/>
          <w:b/>
          <w:bCs/>
        </w:rPr>
        <w:t xml:space="preserve"> 1982</w:t>
      </w:r>
    </w:p>
    <w:p w14:paraId="0A0D25D6" w14:textId="77777777" w:rsidR="00C86989" w:rsidRPr="00953ED5"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76FC5B33" w:rsidR="00255120" w:rsidRPr="00255120" w:rsidRDefault="00D06672"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 xml:space="preserve">A DESIGNATED MAGSITRATE </w:t>
      </w:r>
      <w:r w:rsidR="003F216E">
        <w:rPr>
          <w:rFonts w:cs="Calibri"/>
          <w:iCs/>
        </w:rPr>
        <w:t xml:space="preserve">OF THE </w:t>
      </w:r>
      <w:r w:rsidR="00053F54">
        <w:rPr>
          <w:rFonts w:cs="Calibri"/>
          <w:iCs/>
        </w:rPr>
        <w:t xml:space="preserve">MAGISTRATES </w:t>
      </w:r>
      <w:r w:rsidR="00255120" w:rsidRPr="00255120">
        <w:rPr>
          <w:rFonts w:cs="Calibri"/>
          <w:iCs/>
        </w:rPr>
        <w:t xml:space="preserve">COURT </w:t>
      </w:r>
      <w:r w:rsidR="00255120" w:rsidRPr="00255120">
        <w:rPr>
          <w:rFonts w:cs="Calibri"/>
          <w:bCs/>
        </w:rPr>
        <w:t xml:space="preserve">OF SOUTH AUSTRALIA </w:t>
      </w:r>
    </w:p>
    <w:p w14:paraId="64A174D3" w14:textId="5C9FB87D" w:rsidR="00255120" w:rsidRDefault="00255120" w:rsidP="00255120">
      <w:pPr>
        <w:tabs>
          <w:tab w:val="left" w:pos="1134"/>
          <w:tab w:val="left" w:pos="2342"/>
          <w:tab w:val="left" w:pos="4536"/>
          <w:tab w:val="right" w:pos="8789"/>
        </w:tabs>
        <w:rPr>
          <w:rFonts w:cs="Calibri"/>
          <w:iCs/>
        </w:rPr>
      </w:pPr>
      <w:r w:rsidRPr="00255120">
        <w:rPr>
          <w:rFonts w:cs="Calibri"/>
          <w:iCs/>
        </w:rPr>
        <w:t xml:space="preserve">SPECIAL </w:t>
      </w:r>
      <w:r w:rsidR="007C7BFE">
        <w:rPr>
          <w:rFonts w:cs="Calibri"/>
          <w:iCs/>
        </w:rPr>
        <w:t xml:space="preserve">STATUTORY </w:t>
      </w:r>
      <w:r w:rsidRPr="00255120">
        <w:rPr>
          <w:rFonts w:cs="Calibri"/>
          <w:iCs/>
        </w:rPr>
        <w:t>JURISDICTION</w:t>
      </w:r>
    </w:p>
    <w:p w14:paraId="185EFFDE" w14:textId="77777777" w:rsidR="003F04D7" w:rsidRPr="00D13B35" w:rsidRDefault="003F04D7" w:rsidP="003F04D7">
      <w:pPr>
        <w:tabs>
          <w:tab w:val="left" w:pos="1134"/>
          <w:tab w:val="left" w:pos="2342"/>
          <w:tab w:val="left" w:pos="4536"/>
          <w:tab w:val="right" w:pos="8789"/>
        </w:tabs>
        <w:spacing w:before="480"/>
        <w:rPr>
          <w:rFonts w:cs="Calibri"/>
          <w:b/>
        </w:rPr>
      </w:pPr>
      <w:r w:rsidRPr="00D13B35">
        <w:rPr>
          <w:rFonts w:cs="Calibri"/>
          <w:b/>
        </w:rPr>
        <w:t>[</w:t>
      </w:r>
      <w:r w:rsidRPr="00D13B35">
        <w:rPr>
          <w:rFonts w:cs="Calibri"/>
          <w:b/>
          <w:i/>
        </w:rPr>
        <w:t>FULL NAME</w:t>
      </w:r>
      <w:r w:rsidRPr="00D13B35">
        <w:rPr>
          <w:rFonts w:cs="Calibri"/>
          <w:b/>
        </w:rPr>
        <w:t>]</w:t>
      </w:r>
    </w:p>
    <w:p w14:paraId="0F8AA05F" w14:textId="77777777" w:rsidR="003F04D7" w:rsidRPr="00D13B35" w:rsidRDefault="003F04D7" w:rsidP="003F04D7">
      <w:pPr>
        <w:tabs>
          <w:tab w:val="left" w:pos="1134"/>
          <w:tab w:val="left" w:pos="2342"/>
          <w:tab w:val="left" w:pos="4536"/>
          <w:tab w:val="right" w:pos="8789"/>
        </w:tabs>
        <w:spacing w:after="480"/>
        <w:rPr>
          <w:rFonts w:cs="Calibri"/>
          <w:b/>
        </w:rPr>
      </w:pPr>
      <w:r w:rsidRPr="00D13B35">
        <w:rPr>
          <w:rFonts w:cs="Calibri"/>
          <w:b/>
        </w:rPr>
        <w:t>Applicant</w:t>
      </w:r>
    </w:p>
    <w:p w14:paraId="5437233E" w14:textId="77777777" w:rsidR="003F04D7" w:rsidRDefault="003F04D7" w:rsidP="003F04D7">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3F04D7" w14:paraId="2F51316C" w14:textId="77777777" w:rsidTr="003F04D7">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624FED58" w14:textId="77777777" w:rsidR="003F04D7" w:rsidRDefault="003F04D7">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3F04D7" w14:paraId="0DB2B930" w14:textId="77777777" w:rsidTr="003F04D7">
        <w:trPr>
          <w:cantSplit/>
          <w:trHeight w:val="454"/>
        </w:trPr>
        <w:tc>
          <w:tcPr>
            <w:tcW w:w="2581" w:type="dxa"/>
            <w:tcBorders>
              <w:top w:val="single" w:sz="4" w:space="0" w:color="auto"/>
              <w:left w:val="single" w:sz="4" w:space="0" w:color="auto"/>
              <w:bottom w:val="nil"/>
              <w:right w:val="single" w:sz="4" w:space="0" w:color="auto"/>
            </w:tcBorders>
            <w:hideMark/>
          </w:tcPr>
          <w:p w14:paraId="58E1B7A7" w14:textId="77777777" w:rsidR="003F04D7" w:rsidRDefault="003F04D7">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664F5D14" w14:textId="77777777" w:rsidR="003F04D7" w:rsidRDefault="003F04D7">
            <w:pPr>
              <w:keepNext/>
              <w:rPr>
                <w:rFonts w:cs="Arial"/>
                <w:lang w:val="en-US"/>
              </w:rPr>
            </w:pPr>
          </w:p>
        </w:tc>
      </w:tr>
      <w:tr w:rsidR="003F04D7" w14:paraId="0160FC95" w14:textId="77777777" w:rsidTr="003F04D7">
        <w:trPr>
          <w:cantSplit/>
          <w:trHeight w:val="85"/>
        </w:trPr>
        <w:tc>
          <w:tcPr>
            <w:tcW w:w="2581" w:type="dxa"/>
            <w:tcBorders>
              <w:top w:val="nil"/>
              <w:left w:val="single" w:sz="4" w:space="0" w:color="auto"/>
              <w:bottom w:val="single" w:sz="4" w:space="0" w:color="auto"/>
              <w:right w:val="single" w:sz="4" w:space="0" w:color="auto"/>
            </w:tcBorders>
            <w:vAlign w:val="bottom"/>
          </w:tcPr>
          <w:p w14:paraId="1C770FA7" w14:textId="77777777" w:rsidR="003F04D7" w:rsidRDefault="003F04D7">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1EA02966" w14:textId="77777777" w:rsidR="003F04D7" w:rsidRDefault="003F04D7">
            <w:pPr>
              <w:keepNext/>
              <w:rPr>
                <w:rFonts w:cs="Arial"/>
                <w:lang w:val="en-US"/>
              </w:rPr>
            </w:pPr>
            <w:r>
              <w:rPr>
                <w:rFonts w:cs="Arial"/>
                <w:b/>
                <w:sz w:val="12"/>
                <w:lang w:val="en-US"/>
              </w:rPr>
              <w:t>Full Name</w:t>
            </w:r>
          </w:p>
        </w:tc>
      </w:tr>
      <w:tr w:rsidR="003F04D7" w14:paraId="76F907F4" w14:textId="77777777" w:rsidTr="003F04D7">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00C6A165" w14:textId="77777777" w:rsidR="003F04D7" w:rsidRDefault="003F04D7">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5F2A5B2F" w14:textId="77777777" w:rsidR="003F04D7" w:rsidRDefault="003F04D7">
            <w:pPr>
              <w:keepNext/>
              <w:rPr>
                <w:rFonts w:cs="Arial"/>
                <w:lang w:val="en-US"/>
              </w:rPr>
            </w:pPr>
          </w:p>
        </w:tc>
      </w:tr>
      <w:tr w:rsidR="003F04D7" w14:paraId="5469B5CB" w14:textId="77777777" w:rsidTr="003F04D7">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4AB3001F" w14:textId="77777777" w:rsidR="003F04D7" w:rsidRDefault="003F04D7">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50186F11" w14:textId="77777777" w:rsidR="003F04D7" w:rsidRDefault="003F04D7">
            <w:pPr>
              <w:keepNext/>
              <w:rPr>
                <w:rFonts w:cs="Arial"/>
                <w:b/>
                <w:lang w:val="en-US"/>
              </w:rPr>
            </w:pPr>
            <w:r>
              <w:rPr>
                <w:rFonts w:cs="Arial"/>
                <w:b/>
                <w:sz w:val="12"/>
                <w:lang w:val="en-US"/>
              </w:rPr>
              <w:t>Street Address (including unit or level number and name of property if required)</w:t>
            </w:r>
          </w:p>
        </w:tc>
      </w:tr>
      <w:tr w:rsidR="003F04D7" w14:paraId="79A9B379" w14:textId="77777777" w:rsidTr="003F04D7">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67005AF" w14:textId="77777777" w:rsidR="003F04D7" w:rsidRDefault="003F04D7">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4296FBB7" w14:textId="77777777" w:rsidR="003F04D7" w:rsidRDefault="003F04D7">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3543801C" w14:textId="77777777" w:rsidR="003F04D7" w:rsidRDefault="003F04D7">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799689D6" w14:textId="77777777" w:rsidR="003F04D7" w:rsidRDefault="003F04D7">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1F32C484" w14:textId="77777777" w:rsidR="003F04D7" w:rsidRDefault="003F04D7">
            <w:pPr>
              <w:keepNext/>
              <w:rPr>
                <w:rFonts w:cs="Arial"/>
                <w:lang w:val="en-US"/>
              </w:rPr>
            </w:pPr>
          </w:p>
        </w:tc>
      </w:tr>
      <w:tr w:rsidR="003F04D7" w14:paraId="2007CC6D" w14:textId="77777777" w:rsidTr="003F04D7">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E5719A5" w14:textId="77777777" w:rsidR="003F04D7" w:rsidRDefault="003F04D7">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6E7FD656" w14:textId="77777777" w:rsidR="003F04D7" w:rsidRDefault="003F04D7">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394E83C6" w14:textId="77777777" w:rsidR="003F04D7" w:rsidRDefault="003F04D7">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14221760" w14:textId="77777777" w:rsidR="003F04D7" w:rsidRDefault="003F04D7">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7AE78C8C" w14:textId="77777777" w:rsidR="003F04D7" w:rsidRDefault="003F04D7">
            <w:pPr>
              <w:keepNext/>
              <w:rPr>
                <w:rFonts w:cs="Arial"/>
                <w:lang w:val="en-US"/>
              </w:rPr>
            </w:pPr>
            <w:r>
              <w:rPr>
                <w:rFonts w:cs="Arial"/>
                <w:b/>
                <w:sz w:val="12"/>
                <w:lang w:val="en-US"/>
              </w:rPr>
              <w:t>Country</w:t>
            </w:r>
          </w:p>
        </w:tc>
      </w:tr>
    </w:tbl>
    <w:p w14:paraId="76756CC2" w14:textId="77777777" w:rsidR="003F04D7" w:rsidRPr="00255120" w:rsidRDefault="003F04D7" w:rsidP="00D13B35">
      <w:pPr>
        <w:tabs>
          <w:tab w:val="left" w:pos="1134"/>
          <w:tab w:val="left" w:pos="2342"/>
          <w:tab w:val="left" w:pos="4536"/>
          <w:tab w:val="right" w:pos="8789"/>
        </w:tabs>
        <w:spacing w:before="120" w:after="120"/>
        <w:rPr>
          <w:rFonts w:cs="Calibri"/>
          <w:iCs/>
        </w:rPr>
      </w:pPr>
    </w:p>
    <w:tbl>
      <w:tblPr>
        <w:tblStyle w:val="TableGrid"/>
        <w:tblW w:w="10457" w:type="dxa"/>
        <w:tblLook w:val="04A0" w:firstRow="1" w:lastRow="0" w:firstColumn="1" w:lastColumn="0" w:noHBand="0" w:noVBand="1"/>
      </w:tblPr>
      <w:tblGrid>
        <w:gridCol w:w="10457"/>
      </w:tblGrid>
      <w:tr w:rsidR="0008623A" w:rsidRPr="0008623A" w14:paraId="5581E0C6" w14:textId="77777777" w:rsidTr="00DE1A88">
        <w:tc>
          <w:tcPr>
            <w:tcW w:w="10457" w:type="dxa"/>
          </w:tcPr>
          <w:p w14:paraId="7E03C3DC" w14:textId="75A6FDEE" w:rsidR="00EB35CF" w:rsidRDefault="008C1986" w:rsidP="00D13B35">
            <w:pPr>
              <w:tabs>
                <w:tab w:val="left" w:pos="1752"/>
              </w:tabs>
              <w:spacing w:before="240" w:after="240" w:line="276" w:lineRule="auto"/>
              <w:jc w:val="left"/>
              <w:rPr>
                <w:rFonts w:cs="Arial"/>
                <w:b/>
              </w:rPr>
            </w:pPr>
            <w:bookmarkStart w:id="2" w:name="_Hlk51228340"/>
            <w:bookmarkEnd w:id="0"/>
            <w:bookmarkEnd w:id="1"/>
            <w:r w:rsidRPr="00815C42">
              <w:rPr>
                <w:rFonts w:cs="Arial"/>
                <w:b/>
              </w:rPr>
              <w:t xml:space="preserve">To </w:t>
            </w:r>
            <w:r w:rsidR="00EB35CF">
              <w:rPr>
                <w:rFonts w:cs="Arial"/>
                <w:b/>
              </w:rPr>
              <w:t>[</w:t>
            </w:r>
            <w:r w:rsidR="00EB35CF" w:rsidRPr="00EB35CF">
              <w:rPr>
                <w:rFonts w:cs="Arial"/>
                <w:b/>
                <w:i/>
              </w:rPr>
              <w:t>[name and/or position]/other</w:t>
            </w:r>
            <w:r w:rsidR="00EB35CF">
              <w:rPr>
                <w:rFonts w:cs="Arial"/>
                <w:b/>
              </w:rPr>
              <w:t>]</w:t>
            </w:r>
          </w:p>
          <w:p w14:paraId="2628AF3D" w14:textId="77777777" w:rsidR="008C1986" w:rsidRPr="0008623A" w:rsidRDefault="008C1986" w:rsidP="00D13B35">
            <w:pPr>
              <w:spacing w:after="120" w:line="276" w:lineRule="auto"/>
              <w:jc w:val="left"/>
              <w:rPr>
                <w:rFonts w:cs="Arial"/>
                <w:b/>
              </w:rPr>
            </w:pPr>
            <w:r w:rsidRPr="0008623A">
              <w:rPr>
                <w:rFonts w:cs="Arial"/>
                <w:b/>
              </w:rPr>
              <w:t>Recitals</w:t>
            </w:r>
          </w:p>
          <w:p w14:paraId="7707ED90" w14:textId="77777777" w:rsidR="00053F54" w:rsidRPr="00053F54" w:rsidRDefault="00053F54" w:rsidP="00D13B35">
            <w:pPr>
              <w:spacing w:after="120" w:line="276" w:lineRule="auto"/>
              <w:jc w:val="left"/>
              <w:rPr>
                <w:rFonts w:cs="Arial"/>
              </w:rPr>
            </w:pPr>
            <w:r w:rsidRPr="00053F54">
              <w:rPr>
                <w:rFonts w:cs="Arial"/>
              </w:rPr>
              <w:t>An Application has been made on [date] by authorised person, [</w:t>
            </w:r>
            <w:r w:rsidRPr="00053F54">
              <w:rPr>
                <w:rFonts w:cs="Arial"/>
                <w:i/>
              </w:rPr>
              <w:t>name and/or office</w:t>
            </w:r>
            <w:r w:rsidRPr="00053F54">
              <w:rPr>
                <w:rFonts w:cs="Arial"/>
              </w:rPr>
              <w:t xml:space="preserve">] under section 137D of the </w:t>
            </w:r>
            <w:r w:rsidRPr="00053F54">
              <w:rPr>
                <w:rFonts w:cs="Arial"/>
                <w:i/>
              </w:rPr>
              <w:t>Petroleum (Submerged Lands) Act 1982</w:t>
            </w:r>
            <w:r w:rsidRPr="00053F54">
              <w:rPr>
                <w:rFonts w:cs="Arial"/>
              </w:rPr>
              <w:t xml:space="preserve"> for the issue of a warrant.</w:t>
            </w:r>
          </w:p>
          <w:p w14:paraId="3AA0F549" w14:textId="3A5B826A" w:rsidR="00053F54" w:rsidRPr="00053F54" w:rsidRDefault="00053F54" w:rsidP="00D13B35">
            <w:pPr>
              <w:spacing w:after="120" w:line="276" w:lineRule="auto"/>
              <w:jc w:val="left"/>
              <w:rPr>
                <w:rFonts w:cs="Arial"/>
              </w:rPr>
            </w:pPr>
            <w:r w:rsidRPr="00053F54">
              <w:rPr>
                <w:rFonts w:cs="Arial"/>
              </w:rPr>
              <w:t xml:space="preserve">The </w:t>
            </w:r>
            <w:r>
              <w:rPr>
                <w:rFonts w:cs="Arial"/>
              </w:rPr>
              <w:t>M</w:t>
            </w:r>
            <w:r w:rsidRPr="00053F54">
              <w:rPr>
                <w:rFonts w:cs="Arial"/>
              </w:rPr>
              <w:t>agistrate is satisfied on information given on oath that:</w:t>
            </w:r>
          </w:p>
          <w:p w14:paraId="4BEED792" w14:textId="63A6F5E5" w:rsidR="00053F54" w:rsidRPr="00053F54" w:rsidRDefault="00053F54" w:rsidP="00D13B35">
            <w:pPr>
              <w:pStyle w:val="ListParagraph"/>
              <w:numPr>
                <w:ilvl w:val="0"/>
                <w:numId w:val="5"/>
              </w:numPr>
              <w:spacing w:after="120" w:line="276" w:lineRule="auto"/>
              <w:ind w:left="593"/>
              <w:jc w:val="left"/>
              <w:rPr>
                <w:rFonts w:cs="Arial"/>
              </w:rPr>
            </w:pPr>
            <w:r w:rsidRPr="00053F54">
              <w:rPr>
                <w:rFonts w:cs="Arial"/>
              </w:rPr>
              <w:t>the authorised person seeks to</w:t>
            </w:r>
          </w:p>
          <w:p w14:paraId="24D0E504" w14:textId="3ACE47D5"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b/>
                <w:sz w:val="12"/>
              </w:rPr>
              <w:t>default selected</w:t>
            </w:r>
            <w:r w:rsidRPr="00053F54">
              <w:rPr>
                <w:rFonts w:cs="Arial"/>
              </w:rPr>
              <w:t xml:space="preserve"> board a vessel that the person has reasonable grounds to believe has been used, is being used or is about to be used in contravention of section 118 of the </w:t>
            </w:r>
            <w:r w:rsidRPr="00053F54">
              <w:rPr>
                <w:rFonts w:cs="Arial"/>
                <w:i/>
              </w:rPr>
              <w:t>Petroleum (Submerged Lands) Act 1982</w:t>
            </w:r>
          </w:p>
          <w:p w14:paraId="7CEE9048" w14:textId="77777777"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rPr>
              <w:t>require any person on board that vessel to answer questions relating to the vessel or to the movements of the vessel</w:t>
            </w:r>
          </w:p>
          <w:p w14:paraId="67222572" w14:textId="77777777"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rPr>
              <w:t xml:space="preserve">require the master of the vessel to state whether there is in force in respect of the vessel a consent under section 118(1) of the </w:t>
            </w:r>
            <w:r w:rsidRPr="00053F54">
              <w:rPr>
                <w:rFonts w:cs="Arial"/>
                <w:i/>
              </w:rPr>
              <w:t>Petroleum (Submerged Lands) Act 1982</w:t>
            </w:r>
          </w:p>
          <w:p w14:paraId="24037A08" w14:textId="16A67865"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rPr>
              <w:t xml:space="preserve">if the vessel is registered under the </w:t>
            </w:r>
            <w:r w:rsidRPr="00053F54">
              <w:rPr>
                <w:rFonts w:cs="Arial"/>
                <w:i/>
              </w:rPr>
              <w:t>Shipping Registration Act 1981</w:t>
            </w:r>
            <w:r>
              <w:rPr>
                <w:rFonts w:cs="Arial"/>
              </w:rPr>
              <w:t xml:space="preserve"> </w:t>
            </w:r>
            <w:r w:rsidRPr="00053F54">
              <w:rPr>
                <w:rFonts w:cs="Arial"/>
              </w:rPr>
              <w:t>(Cth), require the master of the vessel to produce the certificate of registration of the vessel</w:t>
            </w:r>
          </w:p>
          <w:p w14:paraId="346D42CC" w14:textId="77777777"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rPr>
              <w:t>search the vessel for any documents relating to the vessel or to the movements of the vessel</w:t>
            </w:r>
          </w:p>
          <w:p w14:paraId="5EA8674C" w14:textId="77777777"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rPr>
              <w:t xml:space="preserve">detain a vessel that the person has reasonable grounds to believe has been used in contravention of section 118 of the </w:t>
            </w:r>
            <w:r w:rsidRPr="00053F54">
              <w:rPr>
                <w:rFonts w:cs="Arial"/>
                <w:i/>
              </w:rPr>
              <w:t>Petroleum (Submerged Lands) Act 1982</w:t>
            </w:r>
          </w:p>
          <w:p w14:paraId="7D8FAA9E" w14:textId="77777777" w:rsidR="00053F54" w:rsidRPr="00053F54" w:rsidRDefault="00053F54" w:rsidP="00D13B35">
            <w:pPr>
              <w:pStyle w:val="ListParagraph"/>
              <w:numPr>
                <w:ilvl w:val="0"/>
                <w:numId w:val="6"/>
              </w:numPr>
              <w:spacing w:after="120" w:line="276" w:lineRule="auto"/>
              <w:ind w:left="1156" w:hanging="357"/>
              <w:contextualSpacing w:val="0"/>
              <w:jc w:val="left"/>
              <w:rPr>
                <w:rFonts w:cs="Arial"/>
              </w:rPr>
            </w:pPr>
            <w:r w:rsidRPr="00053F54">
              <w:rPr>
                <w:rFonts w:cs="Arial"/>
              </w:rPr>
              <w:lastRenderedPageBreak/>
              <w:t>the informant or some other person has given to the Court either orally or by affidavit such further information, if any, as the Court requires concerning the grounds on which the issue of the warrant is being sought.</w:t>
            </w:r>
          </w:p>
          <w:p w14:paraId="0B9171B4" w14:textId="77777777" w:rsidR="00053F54" w:rsidRPr="00053F54" w:rsidRDefault="00053F54" w:rsidP="00D13B35">
            <w:pPr>
              <w:pStyle w:val="ListParagraph"/>
              <w:numPr>
                <w:ilvl w:val="0"/>
                <w:numId w:val="5"/>
              </w:numPr>
              <w:spacing w:after="120" w:line="276" w:lineRule="auto"/>
              <w:ind w:left="589" w:hanging="357"/>
              <w:contextualSpacing w:val="0"/>
              <w:jc w:val="left"/>
              <w:rPr>
                <w:rFonts w:cs="Arial"/>
              </w:rPr>
            </w:pPr>
            <w:r w:rsidRPr="00053F54">
              <w:rPr>
                <w:rFonts w:cs="Arial"/>
              </w:rPr>
              <w:t>there are reasonable grounds for issuing the warrant.</w:t>
            </w:r>
          </w:p>
          <w:p w14:paraId="3B5143C1" w14:textId="65C3B512" w:rsidR="005F3B36" w:rsidRPr="00053F54" w:rsidRDefault="00053F54" w:rsidP="00D13B35">
            <w:pPr>
              <w:pStyle w:val="ListParagraph"/>
              <w:numPr>
                <w:ilvl w:val="0"/>
                <w:numId w:val="5"/>
              </w:numPr>
              <w:spacing w:after="120" w:line="276" w:lineRule="auto"/>
              <w:ind w:left="589" w:hanging="357"/>
              <w:contextualSpacing w:val="0"/>
              <w:jc w:val="left"/>
              <w:rPr>
                <w:rFonts w:cs="Arial"/>
              </w:rPr>
            </w:pPr>
            <w:r w:rsidRPr="00053F54">
              <w:rPr>
                <w:rFonts w:cs="Arial"/>
              </w:rPr>
              <w:t xml:space="preserve">there are proper grounds for the issue of the warrant under section 137D of the </w:t>
            </w:r>
            <w:r w:rsidRPr="00053F54">
              <w:rPr>
                <w:rFonts w:cs="Arial"/>
                <w:i/>
              </w:rPr>
              <w:t>Petroleum (Submerged Lands) Act 1982.</w:t>
            </w:r>
          </w:p>
        </w:tc>
      </w:tr>
    </w:tbl>
    <w:p w14:paraId="300DF605" w14:textId="7F40E46D" w:rsidR="008A5E0B" w:rsidRDefault="008A5E0B" w:rsidP="00D13B35">
      <w:pPr>
        <w:spacing w:before="120" w:after="120" w:line="276" w:lineRule="auto"/>
        <w:rPr>
          <w:rFonts w:asciiTheme="minorHAnsi" w:hAnsiTheme="minorHAnsi" w:cs="Calibri"/>
        </w:rPr>
      </w:pPr>
      <w:bookmarkStart w:id="3" w:name="_Hlk38553874"/>
      <w:bookmarkStart w:id="4" w:name="_Hlk38557195"/>
      <w:bookmarkEnd w:id="2"/>
    </w:p>
    <w:tbl>
      <w:tblPr>
        <w:tblStyle w:val="TableGrid"/>
        <w:tblW w:w="10457" w:type="dxa"/>
        <w:tblLook w:val="04A0" w:firstRow="1" w:lastRow="0" w:firstColumn="1" w:lastColumn="0" w:noHBand="0" w:noVBand="1"/>
      </w:tblPr>
      <w:tblGrid>
        <w:gridCol w:w="10457"/>
      </w:tblGrid>
      <w:tr w:rsidR="00B31E39" w:rsidRPr="0008623A" w14:paraId="7CB93355" w14:textId="77777777" w:rsidTr="00EF2467">
        <w:tc>
          <w:tcPr>
            <w:tcW w:w="10457" w:type="dxa"/>
          </w:tcPr>
          <w:p w14:paraId="496E62FB" w14:textId="77777777" w:rsidR="00B31E39" w:rsidRPr="0008623A" w:rsidRDefault="00B31E39" w:rsidP="00D13B35">
            <w:pPr>
              <w:spacing w:before="240" w:after="120" w:line="276" w:lineRule="auto"/>
              <w:jc w:val="left"/>
              <w:rPr>
                <w:rFonts w:cs="Arial"/>
                <w:b/>
              </w:rPr>
            </w:pPr>
            <w:r w:rsidRPr="0008623A">
              <w:rPr>
                <w:rFonts w:cs="Arial"/>
                <w:b/>
              </w:rPr>
              <w:t>Warrant</w:t>
            </w:r>
          </w:p>
          <w:p w14:paraId="5DA45F03" w14:textId="60FD598B" w:rsidR="000F7743" w:rsidRPr="000F7743" w:rsidRDefault="000F7743" w:rsidP="00D13B35">
            <w:pPr>
              <w:spacing w:before="120" w:after="120" w:line="276" w:lineRule="auto"/>
              <w:jc w:val="left"/>
              <w:rPr>
                <w:rFonts w:cs="Arial"/>
              </w:rPr>
            </w:pPr>
            <w:r w:rsidRPr="000F7743">
              <w:rPr>
                <w:rFonts w:cs="Arial"/>
              </w:rPr>
              <w:t xml:space="preserve">This </w:t>
            </w:r>
            <w:r w:rsidR="00953ED5">
              <w:rPr>
                <w:rFonts w:cs="Arial"/>
              </w:rPr>
              <w:t>w</w:t>
            </w:r>
            <w:r w:rsidR="00053F54">
              <w:rPr>
                <w:rFonts w:cs="Arial"/>
              </w:rPr>
              <w:t xml:space="preserve">arrant authorises </w:t>
            </w:r>
            <w:r w:rsidRPr="00053F54">
              <w:rPr>
                <w:rFonts w:cs="Arial"/>
              </w:rPr>
              <w:t xml:space="preserve">the person and persons to whom this </w:t>
            </w:r>
            <w:r w:rsidR="00953ED5" w:rsidRPr="00053F54">
              <w:rPr>
                <w:rFonts w:cs="Arial"/>
              </w:rPr>
              <w:t>w</w:t>
            </w:r>
            <w:r w:rsidRPr="00053F54">
              <w:rPr>
                <w:rFonts w:cs="Arial"/>
              </w:rPr>
              <w:t>arrant addresses</w:t>
            </w:r>
            <w:r w:rsidRPr="000F7743">
              <w:rPr>
                <w:rFonts w:cs="Arial"/>
              </w:rPr>
              <w:t xml:space="preserve"> </w:t>
            </w:r>
            <w:r w:rsidRPr="00053F54">
              <w:rPr>
                <w:rFonts w:cs="Arial"/>
              </w:rPr>
              <w:t xml:space="preserve">with such assistants as </w:t>
            </w:r>
            <w:r w:rsidR="00DE458E">
              <w:rPr>
                <w:rFonts w:cs="Arial"/>
              </w:rPr>
              <w:t>they</w:t>
            </w:r>
            <w:r w:rsidRPr="00053F54">
              <w:rPr>
                <w:rFonts w:cs="Arial"/>
              </w:rPr>
              <w:t xml:space="preserve"> consider</w:t>
            </w:r>
            <w:r w:rsidR="00DE458E">
              <w:rPr>
                <w:rFonts w:cs="Arial"/>
              </w:rPr>
              <w:t>s</w:t>
            </w:r>
            <w:r w:rsidRPr="00053F54">
              <w:rPr>
                <w:rFonts w:cs="Arial"/>
              </w:rPr>
              <w:t xml:space="preserve"> necessary in the circumstances</w:t>
            </w:r>
            <w:r w:rsidRPr="000F7743">
              <w:rPr>
                <w:rFonts w:cs="Arial"/>
              </w:rPr>
              <w:t xml:space="preserve"> to:</w:t>
            </w:r>
          </w:p>
          <w:p w14:paraId="48CEF84E" w14:textId="417FB4B3" w:rsidR="00053F54" w:rsidRDefault="00053F54" w:rsidP="00D13B35">
            <w:pPr>
              <w:pStyle w:val="ListParagraph"/>
              <w:numPr>
                <w:ilvl w:val="0"/>
                <w:numId w:val="3"/>
              </w:numPr>
              <w:spacing w:before="120" w:after="120" w:line="276" w:lineRule="auto"/>
              <w:ind w:left="453" w:hanging="425"/>
              <w:contextualSpacing w:val="0"/>
              <w:jc w:val="left"/>
              <w:rPr>
                <w:rFonts w:cs="Arial"/>
              </w:rPr>
            </w:pPr>
            <w:r w:rsidRPr="00053F54">
              <w:rPr>
                <w:rFonts w:cs="Arial"/>
                <w:b/>
                <w:sz w:val="12"/>
              </w:rPr>
              <w:t>default selected</w:t>
            </w:r>
            <w:r w:rsidRPr="00053F54">
              <w:rPr>
                <w:rFonts w:cs="Arial"/>
                <w:sz w:val="12"/>
              </w:rPr>
              <w:t xml:space="preserve"> </w:t>
            </w:r>
            <w:r>
              <w:rPr>
                <w:rFonts w:cs="Arial"/>
              </w:rPr>
              <w:t>board [</w:t>
            </w:r>
            <w:r w:rsidRPr="00053F54">
              <w:rPr>
                <w:rFonts w:cs="Arial"/>
                <w:i/>
              </w:rPr>
              <w:t>description of vessel</w:t>
            </w:r>
            <w:r>
              <w:rPr>
                <w:rFonts w:cs="Arial"/>
              </w:rPr>
              <w:t>] for [</w:t>
            </w:r>
            <w:r w:rsidRPr="00053F54">
              <w:rPr>
                <w:rFonts w:cs="Arial"/>
                <w:i/>
              </w:rPr>
              <w:t>description of purpose</w:t>
            </w:r>
            <w:r>
              <w:rPr>
                <w:rFonts w:cs="Arial"/>
              </w:rPr>
              <w:t>]</w:t>
            </w:r>
          </w:p>
          <w:p w14:paraId="2D5B82A5" w14:textId="6D03E0AB" w:rsidR="000F7743" w:rsidRDefault="000F7743" w:rsidP="00D13B35">
            <w:pPr>
              <w:pStyle w:val="ListParagraph"/>
              <w:numPr>
                <w:ilvl w:val="0"/>
                <w:numId w:val="3"/>
              </w:numPr>
              <w:spacing w:before="120" w:after="120" w:line="276" w:lineRule="auto"/>
              <w:ind w:left="453" w:hanging="425"/>
              <w:contextualSpacing w:val="0"/>
              <w:jc w:val="left"/>
              <w:rPr>
                <w:rFonts w:cs="Arial"/>
              </w:rPr>
            </w:pPr>
            <w:r w:rsidRPr="001260F5">
              <w:rPr>
                <w:rFonts w:cs="Arial"/>
              </w:rPr>
              <w:t>search [</w:t>
            </w:r>
            <w:r w:rsidRPr="001260F5">
              <w:rPr>
                <w:rFonts w:cs="Arial"/>
                <w:i/>
              </w:rPr>
              <w:t xml:space="preserve">description of </w:t>
            </w:r>
            <w:r w:rsidR="00053F54">
              <w:rPr>
                <w:rFonts w:cs="Arial"/>
                <w:i/>
              </w:rPr>
              <w:t>vessel</w:t>
            </w:r>
            <w:r w:rsidRPr="001260F5">
              <w:rPr>
                <w:rFonts w:cs="Arial"/>
              </w:rPr>
              <w:t>] for</w:t>
            </w:r>
            <w:r w:rsidR="00053F54">
              <w:rPr>
                <w:rFonts w:cs="Arial"/>
              </w:rPr>
              <w:t xml:space="preserve"> documents relating to the vessel or to the movements of the vessel</w:t>
            </w:r>
            <w:r w:rsidR="008B4CF0" w:rsidRPr="001260F5">
              <w:rPr>
                <w:rFonts w:cs="Arial"/>
              </w:rPr>
              <w:t>.</w:t>
            </w:r>
          </w:p>
          <w:p w14:paraId="08D84CB8" w14:textId="2FCBB5D7" w:rsidR="00053F54" w:rsidRDefault="00053F54" w:rsidP="00D13B35">
            <w:pPr>
              <w:pStyle w:val="ListParagraph"/>
              <w:numPr>
                <w:ilvl w:val="0"/>
                <w:numId w:val="3"/>
              </w:numPr>
              <w:spacing w:before="120" w:after="120" w:line="276" w:lineRule="auto"/>
              <w:ind w:left="453" w:hanging="425"/>
              <w:contextualSpacing w:val="0"/>
              <w:jc w:val="left"/>
              <w:rPr>
                <w:rFonts w:cs="Arial"/>
              </w:rPr>
            </w:pPr>
            <w:r w:rsidRPr="00053F54">
              <w:rPr>
                <w:rFonts w:cs="Arial"/>
              </w:rPr>
              <w:t>require any person on board [</w:t>
            </w:r>
            <w:r w:rsidRPr="00053F54">
              <w:rPr>
                <w:rFonts w:cs="Arial"/>
                <w:i/>
              </w:rPr>
              <w:t>description of vessel</w:t>
            </w:r>
            <w:r w:rsidRPr="00053F54">
              <w:rPr>
                <w:rFonts w:cs="Arial"/>
              </w:rPr>
              <w:t>] to answer questions relating to the vessel or to the movements of the vessel</w:t>
            </w:r>
          </w:p>
          <w:p w14:paraId="350BD139" w14:textId="014C19A1" w:rsidR="00004AAA" w:rsidRPr="00004AAA" w:rsidRDefault="00004AAA" w:rsidP="00D13B35">
            <w:pPr>
              <w:pStyle w:val="ListParagraph"/>
              <w:numPr>
                <w:ilvl w:val="0"/>
                <w:numId w:val="3"/>
              </w:numPr>
              <w:spacing w:before="120" w:after="120" w:line="276" w:lineRule="auto"/>
              <w:ind w:left="453" w:hanging="425"/>
              <w:contextualSpacing w:val="0"/>
              <w:jc w:val="left"/>
              <w:rPr>
                <w:rFonts w:cs="Arial"/>
              </w:rPr>
            </w:pPr>
            <w:r w:rsidRPr="00004AAA">
              <w:rPr>
                <w:rFonts w:cs="Arial"/>
              </w:rPr>
              <w:t>require the master of the [</w:t>
            </w:r>
            <w:r w:rsidRPr="00004AAA">
              <w:rPr>
                <w:rFonts w:cs="Arial"/>
                <w:i/>
              </w:rPr>
              <w:t>description of vessel</w:t>
            </w:r>
            <w:r w:rsidRPr="00004AAA">
              <w:rPr>
                <w:rFonts w:cs="Arial"/>
              </w:rPr>
              <w:t xml:space="preserve">] to state whether there is in force in respect of the vessel a consent under section 118(1) of the </w:t>
            </w:r>
            <w:r w:rsidRPr="00004AAA">
              <w:rPr>
                <w:rFonts w:cs="Arial"/>
                <w:i/>
              </w:rPr>
              <w:t>Petroleum (Submerged Lands) Act 1982</w:t>
            </w:r>
          </w:p>
          <w:p w14:paraId="5F7FD7BB" w14:textId="18F035E3" w:rsidR="00004AAA" w:rsidRDefault="00004AAA" w:rsidP="00D13B35">
            <w:pPr>
              <w:pStyle w:val="ListParagraph"/>
              <w:numPr>
                <w:ilvl w:val="0"/>
                <w:numId w:val="3"/>
              </w:numPr>
              <w:spacing w:before="120" w:after="120" w:line="276" w:lineRule="auto"/>
              <w:ind w:left="453" w:hanging="425"/>
              <w:contextualSpacing w:val="0"/>
              <w:jc w:val="left"/>
              <w:rPr>
                <w:rFonts w:cs="Arial"/>
              </w:rPr>
            </w:pPr>
            <w:r w:rsidRPr="00004AAA">
              <w:rPr>
                <w:rFonts w:cs="Arial"/>
              </w:rPr>
              <w:t xml:space="preserve">if the vessel is registered under the </w:t>
            </w:r>
            <w:r w:rsidRPr="00004AAA">
              <w:rPr>
                <w:rFonts w:cs="Arial"/>
                <w:i/>
              </w:rPr>
              <w:t>Shipping Registration Act 1981</w:t>
            </w:r>
            <w:r w:rsidRPr="00004AAA">
              <w:rPr>
                <w:rFonts w:cs="Arial"/>
              </w:rPr>
              <w:t>(Cth), require the master of the [</w:t>
            </w:r>
            <w:r w:rsidRPr="00004AAA">
              <w:rPr>
                <w:rFonts w:cs="Arial"/>
                <w:i/>
              </w:rPr>
              <w:t>description of vessel</w:t>
            </w:r>
            <w:r w:rsidRPr="00004AAA">
              <w:rPr>
                <w:rFonts w:cs="Arial"/>
              </w:rPr>
              <w:t>] to produce the certificate of registration of the vessel</w:t>
            </w:r>
          </w:p>
          <w:p w14:paraId="52500A53" w14:textId="098D63F5" w:rsidR="00004AAA" w:rsidRDefault="00004AAA" w:rsidP="00D13B35">
            <w:pPr>
              <w:pStyle w:val="ListParagraph"/>
              <w:numPr>
                <w:ilvl w:val="0"/>
                <w:numId w:val="3"/>
              </w:numPr>
              <w:spacing w:before="120" w:after="120" w:line="276" w:lineRule="auto"/>
              <w:ind w:left="453" w:hanging="425"/>
              <w:contextualSpacing w:val="0"/>
              <w:jc w:val="left"/>
              <w:rPr>
                <w:rFonts w:cs="Arial"/>
              </w:rPr>
            </w:pPr>
            <w:r w:rsidRPr="00004AAA">
              <w:rPr>
                <w:rFonts w:cs="Arial"/>
              </w:rPr>
              <w:t>search [</w:t>
            </w:r>
            <w:r w:rsidRPr="00004AAA">
              <w:rPr>
                <w:rFonts w:cs="Arial"/>
                <w:i/>
              </w:rPr>
              <w:t>description of vessel</w:t>
            </w:r>
            <w:r w:rsidRPr="00004AAA">
              <w:rPr>
                <w:rFonts w:cs="Arial"/>
              </w:rPr>
              <w:t>] for any documents relating to the vessel or to the movements of the vessel</w:t>
            </w:r>
          </w:p>
          <w:p w14:paraId="104075B7" w14:textId="6121D4BF" w:rsidR="00004AAA" w:rsidRPr="001260F5" w:rsidRDefault="00004AAA" w:rsidP="00D13B35">
            <w:pPr>
              <w:pStyle w:val="ListParagraph"/>
              <w:numPr>
                <w:ilvl w:val="0"/>
                <w:numId w:val="3"/>
              </w:numPr>
              <w:spacing w:before="120" w:after="120" w:line="276" w:lineRule="auto"/>
              <w:ind w:left="453" w:hanging="425"/>
              <w:contextualSpacing w:val="0"/>
              <w:jc w:val="left"/>
              <w:rPr>
                <w:rFonts w:cs="Arial"/>
              </w:rPr>
            </w:pPr>
            <w:r w:rsidRPr="00004AAA">
              <w:rPr>
                <w:rFonts w:cs="Arial"/>
              </w:rPr>
              <w:t>detain a [</w:t>
            </w:r>
            <w:r w:rsidRPr="00004AAA">
              <w:rPr>
                <w:rFonts w:cs="Arial"/>
                <w:i/>
              </w:rPr>
              <w:t>description of vessel</w:t>
            </w:r>
            <w:r w:rsidRPr="00004AAA">
              <w:rPr>
                <w:rFonts w:cs="Arial"/>
              </w:rPr>
              <w:t>] that the person for [</w:t>
            </w:r>
            <w:r w:rsidRPr="00004AAA">
              <w:rPr>
                <w:rFonts w:cs="Arial"/>
                <w:i/>
              </w:rPr>
              <w:t>description of purpose</w:t>
            </w:r>
            <w:r w:rsidRPr="00004AAA">
              <w:rPr>
                <w:rFonts w:cs="Arial"/>
              </w:rPr>
              <w:t>]</w:t>
            </w:r>
          </w:p>
          <w:p w14:paraId="154C1792" w14:textId="6D79B295" w:rsidR="000F7743" w:rsidRPr="001260F5" w:rsidRDefault="000F7743" w:rsidP="00D13B35">
            <w:pPr>
              <w:pStyle w:val="ListParagraph"/>
              <w:numPr>
                <w:ilvl w:val="0"/>
                <w:numId w:val="3"/>
              </w:numPr>
              <w:spacing w:before="120" w:after="120" w:line="276" w:lineRule="auto"/>
              <w:ind w:left="453" w:hanging="425"/>
              <w:contextualSpacing w:val="0"/>
              <w:jc w:val="left"/>
              <w:rPr>
                <w:rFonts w:cs="Arial"/>
              </w:rPr>
            </w:pPr>
            <w:r w:rsidRPr="001260F5">
              <w:rPr>
                <w:rFonts w:cs="Arial"/>
              </w:rPr>
              <w:t>[</w:t>
            </w:r>
            <w:r w:rsidRPr="001260F5">
              <w:rPr>
                <w:rFonts w:cs="Arial"/>
                <w:i/>
              </w:rPr>
              <w:t>other</w:t>
            </w:r>
            <w:r w:rsidRPr="001260F5">
              <w:rPr>
                <w:rFonts w:cs="Arial"/>
              </w:rPr>
              <w:t>]</w:t>
            </w:r>
            <w:r w:rsidR="008B4CF0" w:rsidRPr="001260F5">
              <w:rPr>
                <w:rFonts w:cs="Arial"/>
              </w:rPr>
              <w:t>.</w:t>
            </w:r>
          </w:p>
          <w:p w14:paraId="2330EFE4" w14:textId="77777777" w:rsidR="000F7743" w:rsidRPr="000F7743" w:rsidRDefault="000F7743" w:rsidP="00D13B35">
            <w:pPr>
              <w:spacing w:before="120" w:after="120" w:line="276" w:lineRule="auto"/>
              <w:jc w:val="left"/>
              <w:rPr>
                <w:rFonts w:cs="Arial"/>
              </w:rPr>
            </w:pPr>
          </w:p>
          <w:p w14:paraId="276FCBFB" w14:textId="5CC701E1" w:rsidR="000F7743" w:rsidRPr="000F7743" w:rsidRDefault="007150DA" w:rsidP="00D13B35">
            <w:pPr>
              <w:spacing w:after="120" w:line="276" w:lineRule="auto"/>
              <w:jc w:val="left"/>
              <w:rPr>
                <w:rFonts w:cs="Arial"/>
              </w:rPr>
            </w:pPr>
            <w:r>
              <w:rPr>
                <w:rFonts w:cs="Arial"/>
              </w:rPr>
              <w:t xml:space="preserve">This </w:t>
            </w:r>
            <w:r w:rsidR="00953ED5">
              <w:rPr>
                <w:rFonts w:cs="Arial"/>
              </w:rPr>
              <w:t>w</w:t>
            </w:r>
            <w:r w:rsidR="000F7743" w:rsidRPr="000F7743">
              <w:rPr>
                <w:rFonts w:cs="Arial"/>
              </w:rPr>
              <w:t>arrant</w:t>
            </w:r>
            <w:r w:rsidR="00F913FF">
              <w:rPr>
                <w:rFonts w:cs="Arial"/>
              </w:rPr>
              <w:t>:</w:t>
            </w:r>
          </w:p>
          <w:p w14:paraId="06F120F9" w14:textId="37FEC55B" w:rsidR="000F7743" w:rsidRPr="001260F5" w:rsidRDefault="000F7743" w:rsidP="00D13B35">
            <w:pPr>
              <w:pStyle w:val="ListParagraph"/>
              <w:numPr>
                <w:ilvl w:val="0"/>
                <w:numId w:val="2"/>
              </w:numPr>
              <w:spacing w:before="120" w:after="120" w:line="276" w:lineRule="auto"/>
              <w:ind w:left="453" w:hanging="425"/>
              <w:contextualSpacing w:val="0"/>
              <w:jc w:val="left"/>
              <w:rPr>
                <w:rFonts w:cs="Arial"/>
              </w:rPr>
            </w:pPr>
            <w:r w:rsidRPr="001260F5">
              <w:rPr>
                <w:rFonts w:cs="Arial"/>
              </w:rPr>
              <w:t>may be executed at any time of day.</w:t>
            </w:r>
          </w:p>
          <w:p w14:paraId="6B8A9A31" w14:textId="523A3FC7" w:rsidR="000F7743" w:rsidRPr="001260F5" w:rsidRDefault="000F7743" w:rsidP="00D13B35">
            <w:pPr>
              <w:pStyle w:val="ListParagraph"/>
              <w:numPr>
                <w:ilvl w:val="0"/>
                <w:numId w:val="2"/>
              </w:numPr>
              <w:spacing w:before="120" w:after="120" w:line="276" w:lineRule="auto"/>
              <w:ind w:left="453" w:hanging="425"/>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3F4A2A4F" w14:textId="407C75F9" w:rsidR="000F7743" w:rsidRPr="001260F5" w:rsidRDefault="000F7743" w:rsidP="00D13B35">
            <w:pPr>
              <w:pStyle w:val="ListParagraph"/>
              <w:numPr>
                <w:ilvl w:val="0"/>
                <w:numId w:val="2"/>
              </w:numPr>
              <w:spacing w:before="120" w:after="120" w:line="276" w:lineRule="auto"/>
              <w:ind w:left="453" w:hanging="425"/>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B45F0BE" w14:textId="5186CA1B" w:rsidR="000F7743" w:rsidRPr="001260F5" w:rsidRDefault="000F7743" w:rsidP="00D13B35">
            <w:pPr>
              <w:pStyle w:val="ListParagraph"/>
              <w:numPr>
                <w:ilvl w:val="0"/>
                <w:numId w:val="2"/>
              </w:numPr>
              <w:spacing w:before="120" w:after="120" w:line="276" w:lineRule="auto"/>
              <w:ind w:left="453" w:hanging="425"/>
              <w:contextualSpacing w:val="0"/>
              <w:jc w:val="left"/>
              <w:rPr>
                <w:rFonts w:cs="Arial"/>
              </w:rPr>
            </w:pPr>
            <w:r w:rsidRPr="001260F5">
              <w:rPr>
                <w:rFonts w:cs="Arial"/>
              </w:rPr>
              <w:t>[</w:t>
            </w:r>
            <w:r w:rsidRPr="00255D85">
              <w:rPr>
                <w:rFonts w:cs="Arial"/>
                <w:i/>
              </w:rPr>
              <w:t>other</w:t>
            </w:r>
            <w:r w:rsidRPr="001260F5">
              <w:rPr>
                <w:rFonts w:cs="Arial"/>
              </w:rPr>
              <w:t>]</w:t>
            </w:r>
            <w:r w:rsidR="007150DA" w:rsidRPr="001260F5">
              <w:rPr>
                <w:rFonts w:cs="Arial"/>
              </w:rPr>
              <w:t>.</w:t>
            </w:r>
          </w:p>
          <w:p w14:paraId="65316CE8" w14:textId="73075B1B" w:rsidR="000F7743" w:rsidRDefault="000F7743" w:rsidP="00D13B35">
            <w:pPr>
              <w:spacing w:before="120" w:after="120" w:line="276" w:lineRule="auto"/>
              <w:jc w:val="left"/>
              <w:rPr>
                <w:rFonts w:cs="Arial"/>
              </w:rPr>
            </w:pPr>
          </w:p>
          <w:p w14:paraId="7C3F05E1" w14:textId="656A8D81" w:rsidR="00E35159" w:rsidRPr="00E35159" w:rsidRDefault="00E35159" w:rsidP="00D13B35">
            <w:pPr>
              <w:spacing w:before="120" w:after="120" w:line="276" w:lineRule="auto"/>
              <w:jc w:val="left"/>
              <w:rPr>
                <w:rFonts w:cs="Arial"/>
                <w:b/>
              </w:rPr>
            </w:pPr>
            <w:r w:rsidRPr="00E35159">
              <w:rPr>
                <w:rFonts w:cs="Arial"/>
                <w:b/>
              </w:rPr>
              <w:t xml:space="preserve">Expiration </w:t>
            </w:r>
          </w:p>
          <w:p w14:paraId="3E9BDEA5" w14:textId="1DEDAD02" w:rsidR="000F7743" w:rsidRPr="000F7743" w:rsidRDefault="00953ED5" w:rsidP="00D13B35">
            <w:pPr>
              <w:spacing w:before="120" w:after="120" w:line="276" w:lineRule="auto"/>
              <w:ind w:left="595" w:hanging="567"/>
              <w:jc w:val="left"/>
              <w:rPr>
                <w:rFonts w:cs="Arial"/>
              </w:rPr>
            </w:pPr>
            <w:r>
              <w:rPr>
                <w:rFonts w:cs="Arial"/>
              </w:rPr>
              <w:t>This w</w:t>
            </w:r>
            <w:r w:rsidR="00DB53F0" w:rsidRPr="003C12E7">
              <w:rPr>
                <w:rFonts w:cs="Arial"/>
              </w:rPr>
              <w:t>arrant expires on [</w:t>
            </w:r>
            <w:r w:rsidR="00DB53F0" w:rsidRPr="003C12E7">
              <w:rPr>
                <w:rFonts w:cs="Arial"/>
                <w:i/>
              </w:rPr>
              <w:t>date</w:t>
            </w:r>
            <w:r w:rsidR="00004AAA">
              <w:rPr>
                <w:rFonts w:cs="Arial"/>
                <w:i/>
              </w:rPr>
              <w:t>/time</w:t>
            </w:r>
            <w:r w:rsidR="00DB53F0" w:rsidRPr="003C12E7">
              <w:rPr>
                <w:rFonts w:cs="Arial"/>
              </w:rPr>
              <w:t>]</w:t>
            </w:r>
            <w:r w:rsidR="00004AAA">
              <w:rPr>
                <w:rFonts w:cs="Arial"/>
              </w:rPr>
              <w:t xml:space="preserve">, being a date not more than 7 days after the issue of this warrant. </w:t>
            </w:r>
          </w:p>
        </w:tc>
      </w:tr>
    </w:tbl>
    <w:p w14:paraId="3AC9489F" w14:textId="2839382D" w:rsidR="00B31E39" w:rsidRDefault="00B31E39" w:rsidP="00D13B35">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14:paraId="6B6305F8" w14:textId="77777777" w:rsidTr="00AA424C">
        <w:trPr>
          <w:cantSplit/>
        </w:trPr>
        <w:tc>
          <w:tcPr>
            <w:tcW w:w="10457" w:type="dxa"/>
          </w:tcPr>
          <w:p w14:paraId="00D4DAAF" w14:textId="08F3534B" w:rsidR="001260F5" w:rsidRPr="00CE63D1" w:rsidRDefault="00521B1E" w:rsidP="00D13B35">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445BC2" w:rsidRDefault="001260F5" w:rsidP="00D13B35">
            <w:pPr>
              <w:spacing w:before="600" w:line="276" w:lineRule="auto"/>
              <w:ind w:right="176"/>
              <w:rPr>
                <w:rFonts w:cs="Arial"/>
              </w:rPr>
            </w:pPr>
            <w:r>
              <w:rPr>
                <w:rFonts w:cs="Arial"/>
              </w:rPr>
              <w:t>…………………………………………</w:t>
            </w:r>
          </w:p>
          <w:p w14:paraId="2EE584C1" w14:textId="7009B07D" w:rsidR="001260F5" w:rsidRPr="00445BC2" w:rsidRDefault="001260F5" w:rsidP="00D13B35">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A06845">
              <w:rPr>
                <w:rFonts w:cs="Arial"/>
                <w:iCs/>
              </w:rPr>
              <w:t>Magistrate</w:t>
            </w:r>
          </w:p>
          <w:p w14:paraId="3622AD67" w14:textId="77777777" w:rsidR="001260F5" w:rsidRDefault="001260F5" w:rsidP="00D13B35">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5"/>
      <w:bookmarkEnd w:id="3"/>
      <w:bookmarkEnd w:id="4"/>
    </w:tbl>
    <w:p w14:paraId="3FEF4F0B" w14:textId="77777777" w:rsidR="001345C2" w:rsidRPr="0008623A" w:rsidRDefault="001345C2" w:rsidP="00D13B35">
      <w:pPr>
        <w:spacing w:line="276" w:lineRule="auto"/>
        <w:rPr>
          <w:rFonts w:asciiTheme="minorHAnsi" w:hAnsiTheme="minorHAnsi" w:cs="Calibri"/>
        </w:rPr>
      </w:pPr>
    </w:p>
    <w:sectPr w:rsidR="001345C2" w:rsidRPr="0008623A"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3BA642F4" w:rsidR="00F42926" w:rsidRDefault="00865B2D" w:rsidP="00F42926">
    <w:pPr>
      <w:pStyle w:val="Header"/>
      <w:rPr>
        <w:lang w:val="en-US"/>
      </w:rPr>
    </w:pPr>
    <w:r>
      <w:rPr>
        <w:lang w:val="en-US"/>
      </w:rPr>
      <w:t xml:space="preserve">Form </w:t>
    </w:r>
    <w:r w:rsidR="006E3C9A">
      <w:rPr>
        <w:lang w:val="en-US"/>
      </w:rPr>
      <w:t>10</w:t>
    </w:r>
    <w:r w:rsidR="00433CC1">
      <w:rPr>
        <w:lang w:val="en-US"/>
      </w:rPr>
      <w:t>1</w:t>
    </w:r>
    <w:r w:rsidR="002424E8">
      <w:rPr>
        <w:lang w:val="en-US"/>
      </w:rPr>
      <w:t>B</w:t>
    </w:r>
    <w:r w:rsidR="007B7B0D">
      <w:rPr>
        <w:lang w:val="en-US"/>
      </w:rPr>
      <w:t>Y</w:t>
    </w:r>
  </w:p>
  <w:p w14:paraId="6DA10F56"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74635D0F" w:rsidR="00E92F2A" w:rsidRDefault="00E447A9" w:rsidP="009352D8">
    <w:pPr>
      <w:pStyle w:val="Header"/>
      <w:rPr>
        <w:lang w:val="en-US"/>
      </w:rPr>
    </w:pPr>
    <w:r>
      <w:rPr>
        <w:lang w:val="en-US"/>
      </w:rPr>
      <w:t xml:space="preserve">Form </w:t>
    </w:r>
    <w:r w:rsidR="006E3C9A">
      <w:rPr>
        <w:lang w:val="en-US"/>
      </w:rPr>
      <w:t>10</w:t>
    </w:r>
    <w:r w:rsidR="00433CC1">
      <w:rPr>
        <w:lang w:val="en-US"/>
      </w:rPr>
      <w:t>1</w:t>
    </w:r>
    <w:r w:rsidR="002424E8">
      <w:rPr>
        <w:lang w:val="en-US"/>
      </w:rPr>
      <w:t>B</w:t>
    </w:r>
    <w:r w:rsidR="007B7B0D">
      <w:rPr>
        <w:lang w:val="en-US"/>
      </w:rPr>
      <w:t>Y</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621D5635" w:rsidR="00014224" w:rsidRPr="00B653FE" w:rsidRDefault="00014224" w:rsidP="00607F7A">
          <w:pPr>
            <w:pStyle w:val="Footer"/>
            <w:rPr>
              <w:b/>
            </w:rPr>
          </w:pP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5144F18"/>
    <w:multiLevelType w:val="hybridMultilevel"/>
    <w:tmpl w:val="1402E478"/>
    <w:lvl w:ilvl="0" w:tplc="9042A0F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4" w15:restartNumberingAfterBreak="0">
    <w:nsid w:val="667D288A"/>
    <w:multiLevelType w:val="hybridMultilevel"/>
    <w:tmpl w:val="FB92D2E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0675804">
    <w:abstractNumId w:val="3"/>
  </w:num>
  <w:num w:numId="2" w16cid:durableId="861360513">
    <w:abstractNumId w:val="5"/>
  </w:num>
  <w:num w:numId="3" w16cid:durableId="593828763">
    <w:abstractNumId w:val="1"/>
  </w:num>
  <w:num w:numId="4" w16cid:durableId="556431407">
    <w:abstractNumId w:val="0"/>
  </w:num>
  <w:num w:numId="5" w16cid:durableId="696849564">
    <w:abstractNumId w:val="2"/>
  </w:num>
  <w:num w:numId="6" w16cid:durableId="63237331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567"/>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2D5D"/>
    <w:rsid w:val="00004AAA"/>
    <w:rsid w:val="000070E3"/>
    <w:rsid w:val="00010A92"/>
    <w:rsid w:val="000110AF"/>
    <w:rsid w:val="00011A48"/>
    <w:rsid w:val="00011C5A"/>
    <w:rsid w:val="00013178"/>
    <w:rsid w:val="00014224"/>
    <w:rsid w:val="00014FDB"/>
    <w:rsid w:val="00017F63"/>
    <w:rsid w:val="00021FFD"/>
    <w:rsid w:val="000229B5"/>
    <w:rsid w:val="00022B8A"/>
    <w:rsid w:val="00023E8E"/>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3F54"/>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23A"/>
    <w:rsid w:val="0008641A"/>
    <w:rsid w:val="000878EC"/>
    <w:rsid w:val="000920E7"/>
    <w:rsid w:val="00092F7F"/>
    <w:rsid w:val="0009527C"/>
    <w:rsid w:val="000A2312"/>
    <w:rsid w:val="000A3A5D"/>
    <w:rsid w:val="000A3BFB"/>
    <w:rsid w:val="000A433A"/>
    <w:rsid w:val="000A43E4"/>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0F7743"/>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625C"/>
    <w:rsid w:val="00177E5E"/>
    <w:rsid w:val="00180E61"/>
    <w:rsid w:val="00182363"/>
    <w:rsid w:val="00184364"/>
    <w:rsid w:val="0018458B"/>
    <w:rsid w:val="00187B30"/>
    <w:rsid w:val="00191B8A"/>
    <w:rsid w:val="00191BF7"/>
    <w:rsid w:val="00195C58"/>
    <w:rsid w:val="00195F2E"/>
    <w:rsid w:val="00197AD2"/>
    <w:rsid w:val="00197D1D"/>
    <w:rsid w:val="001A0E53"/>
    <w:rsid w:val="001A0F35"/>
    <w:rsid w:val="001A13AA"/>
    <w:rsid w:val="001A2904"/>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17E69"/>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24E8"/>
    <w:rsid w:val="00245786"/>
    <w:rsid w:val="00246F1D"/>
    <w:rsid w:val="00251651"/>
    <w:rsid w:val="002536B5"/>
    <w:rsid w:val="002538AF"/>
    <w:rsid w:val="002543BA"/>
    <w:rsid w:val="00255120"/>
    <w:rsid w:val="00255D85"/>
    <w:rsid w:val="002565A7"/>
    <w:rsid w:val="002572E1"/>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1B8F"/>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19D1"/>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741"/>
    <w:rsid w:val="003E3C15"/>
    <w:rsid w:val="003E64B8"/>
    <w:rsid w:val="003E7516"/>
    <w:rsid w:val="003F04D7"/>
    <w:rsid w:val="003F216E"/>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3539"/>
    <w:rsid w:val="00433CC1"/>
    <w:rsid w:val="00433FD2"/>
    <w:rsid w:val="00434138"/>
    <w:rsid w:val="004358FD"/>
    <w:rsid w:val="0043694B"/>
    <w:rsid w:val="00437963"/>
    <w:rsid w:val="00440CAF"/>
    <w:rsid w:val="00442096"/>
    <w:rsid w:val="00442B8C"/>
    <w:rsid w:val="00444E9C"/>
    <w:rsid w:val="00445B0B"/>
    <w:rsid w:val="0044713C"/>
    <w:rsid w:val="00450FAF"/>
    <w:rsid w:val="004515F2"/>
    <w:rsid w:val="00452385"/>
    <w:rsid w:val="004523E3"/>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55EA"/>
    <w:rsid w:val="004E7DBB"/>
    <w:rsid w:val="004F0988"/>
    <w:rsid w:val="004F0A59"/>
    <w:rsid w:val="004F0E26"/>
    <w:rsid w:val="004F142A"/>
    <w:rsid w:val="004F191E"/>
    <w:rsid w:val="004F4CDF"/>
    <w:rsid w:val="004F61E8"/>
    <w:rsid w:val="00500F9E"/>
    <w:rsid w:val="005012CC"/>
    <w:rsid w:val="00501DC8"/>
    <w:rsid w:val="00501DEA"/>
    <w:rsid w:val="00501E0A"/>
    <w:rsid w:val="00502E82"/>
    <w:rsid w:val="00505616"/>
    <w:rsid w:val="0050636B"/>
    <w:rsid w:val="0050711B"/>
    <w:rsid w:val="00512935"/>
    <w:rsid w:val="00512D65"/>
    <w:rsid w:val="005137C6"/>
    <w:rsid w:val="00515A26"/>
    <w:rsid w:val="00515F05"/>
    <w:rsid w:val="005162A5"/>
    <w:rsid w:val="0052134C"/>
    <w:rsid w:val="00521B1E"/>
    <w:rsid w:val="005221D3"/>
    <w:rsid w:val="00522FED"/>
    <w:rsid w:val="00525882"/>
    <w:rsid w:val="0053105A"/>
    <w:rsid w:val="005318BF"/>
    <w:rsid w:val="005331D6"/>
    <w:rsid w:val="00533375"/>
    <w:rsid w:val="00533508"/>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4B2"/>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4DC2"/>
    <w:rsid w:val="006D5B45"/>
    <w:rsid w:val="006D6EA3"/>
    <w:rsid w:val="006D72B8"/>
    <w:rsid w:val="006D779B"/>
    <w:rsid w:val="006D7E1D"/>
    <w:rsid w:val="006E16B4"/>
    <w:rsid w:val="006E1936"/>
    <w:rsid w:val="006E3827"/>
    <w:rsid w:val="006E3C9A"/>
    <w:rsid w:val="006E5DD2"/>
    <w:rsid w:val="006E63E6"/>
    <w:rsid w:val="006E655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BA7"/>
    <w:rsid w:val="007132BD"/>
    <w:rsid w:val="00714237"/>
    <w:rsid w:val="00715003"/>
    <w:rsid w:val="007150DA"/>
    <w:rsid w:val="0071673E"/>
    <w:rsid w:val="00716876"/>
    <w:rsid w:val="007200CB"/>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2FD"/>
    <w:rsid w:val="00780711"/>
    <w:rsid w:val="0078292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B7B0D"/>
    <w:rsid w:val="007C12AA"/>
    <w:rsid w:val="007C3886"/>
    <w:rsid w:val="007C5E15"/>
    <w:rsid w:val="007C68C0"/>
    <w:rsid w:val="007C728C"/>
    <w:rsid w:val="007C7AF3"/>
    <w:rsid w:val="007C7BFE"/>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235C"/>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A5E0B"/>
    <w:rsid w:val="008B0470"/>
    <w:rsid w:val="008B0833"/>
    <w:rsid w:val="008B1362"/>
    <w:rsid w:val="008B41C4"/>
    <w:rsid w:val="008B469C"/>
    <w:rsid w:val="008B4CF0"/>
    <w:rsid w:val="008B52B6"/>
    <w:rsid w:val="008B617A"/>
    <w:rsid w:val="008B7CD9"/>
    <w:rsid w:val="008C1986"/>
    <w:rsid w:val="008C2423"/>
    <w:rsid w:val="008C2964"/>
    <w:rsid w:val="008C3659"/>
    <w:rsid w:val="008C3E32"/>
    <w:rsid w:val="008C5B04"/>
    <w:rsid w:val="008C67EE"/>
    <w:rsid w:val="008C6EC2"/>
    <w:rsid w:val="008C7979"/>
    <w:rsid w:val="008C7C61"/>
    <w:rsid w:val="008D3BE5"/>
    <w:rsid w:val="008D4768"/>
    <w:rsid w:val="008D4A4D"/>
    <w:rsid w:val="008D7113"/>
    <w:rsid w:val="008E2953"/>
    <w:rsid w:val="008E74BA"/>
    <w:rsid w:val="008E76D6"/>
    <w:rsid w:val="008F2362"/>
    <w:rsid w:val="008F274B"/>
    <w:rsid w:val="008F3998"/>
    <w:rsid w:val="008F45C2"/>
    <w:rsid w:val="009000A0"/>
    <w:rsid w:val="00900581"/>
    <w:rsid w:val="00901FBF"/>
    <w:rsid w:val="00905092"/>
    <w:rsid w:val="00905A8A"/>
    <w:rsid w:val="00906394"/>
    <w:rsid w:val="00906C5B"/>
    <w:rsid w:val="009077D8"/>
    <w:rsid w:val="0091026D"/>
    <w:rsid w:val="00910547"/>
    <w:rsid w:val="009107C8"/>
    <w:rsid w:val="009143AC"/>
    <w:rsid w:val="009146D1"/>
    <w:rsid w:val="00916DC8"/>
    <w:rsid w:val="00917942"/>
    <w:rsid w:val="00920A3C"/>
    <w:rsid w:val="00920DF3"/>
    <w:rsid w:val="009211D2"/>
    <w:rsid w:val="00922E56"/>
    <w:rsid w:val="009240CA"/>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06845"/>
    <w:rsid w:val="00A1441C"/>
    <w:rsid w:val="00A15561"/>
    <w:rsid w:val="00A172DE"/>
    <w:rsid w:val="00A17A7E"/>
    <w:rsid w:val="00A22D31"/>
    <w:rsid w:val="00A25A54"/>
    <w:rsid w:val="00A262EF"/>
    <w:rsid w:val="00A34724"/>
    <w:rsid w:val="00A3562B"/>
    <w:rsid w:val="00A3637F"/>
    <w:rsid w:val="00A367DE"/>
    <w:rsid w:val="00A40161"/>
    <w:rsid w:val="00A41548"/>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24C"/>
    <w:rsid w:val="00AA4A90"/>
    <w:rsid w:val="00AA6ABF"/>
    <w:rsid w:val="00AA75E0"/>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F2"/>
    <w:rsid w:val="00AE57F2"/>
    <w:rsid w:val="00AE68A0"/>
    <w:rsid w:val="00AE6D2F"/>
    <w:rsid w:val="00AE776A"/>
    <w:rsid w:val="00AE7C49"/>
    <w:rsid w:val="00AF032C"/>
    <w:rsid w:val="00AF1F83"/>
    <w:rsid w:val="00AF464F"/>
    <w:rsid w:val="00AF624D"/>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6A71"/>
    <w:rsid w:val="00B775A4"/>
    <w:rsid w:val="00B8091A"/>
    <w:rsid w:val="00B8093F"/>
    <w:rsid w:val="00B80EE6"/>
    <w:rsid w:val="00B810B0"/>
    <w:rsid w:val="00B821E5"/>
    <w:rsid w:val="00B82DFE"/>
    <w:rsid w:val="00B85A08"/>
    <w:rsid w:val="00B90CC6"/>
    <w:rsid w:val="00B90EA3"/>
    <w:rsid w:val="00B93E1B"/>
    <w:rsid w:val="00B96EBB"/>
    <w:rsid w:val="00B972E3"/>
    <w:rsid w:val="00B97D83"/>
    <w:rsid w:val="00BA0DAC"/>
    <w:rsid w:val="00BA0F5B"/>
    <w:rsid w:val="00BA1294"/>
    <w:rsid w:val="00BA2E0B"/>
    <w:rsid w:val="00BA35DB"/>
    <w:rsid w:val="00BA48D1"/>
    <w:rsid w:val="00BA6554"/>
    <w:rsid w:val="00BA73DC"/>
    <w:rsid w:val="00BA7BFD"/>
    <w:rsid w:val="00BB0D6E"/>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73C7"/>
    <w:rsid w:val="00C70A0D"/>
    <w:rsid w:val="00C71B98"/>
    <w:rsid w:val="00C73241"/>
    <w:rsid w:val="00C7412F"/>
    <w:rsid w:val="00C83509"/>
    <w:rsid w:val="00C839C8"/>
    <w:rsid w:val="00C85A37"/>
    <w:rsid w:val="00C860C6"/>
    <w:rsid w:val="00C86989"/>
    <w:rsid w:val="00C9042D"/>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C3722"/>
    <w:rsid w:val="00CC4A19"/>
    <w:rsid w:val="00CD09B8"/>
    <w:rsid w:val="00CD122D"/>
    <w:rsid w:val="00CD13B2"/>
    <w:rsid w:val="00CD3CBC"/>
    <w:rsid w:val="00CD3E22"/>
    <w:rsid w:val="00CD6335"/>
    <w:rsid w:val="00CE2E0D"/>
    <w:rsid w:val="00CE3505"/>
    <w:rsid w:val="00CE5921"/>
    <w:rsid w:val="00CE59D9"/>
    <w:rsid w:val="00CE63D1"/>
    <w:rsid w:val="00CE6DC5"/>
    <w:rsid w:val="00CE713F"/>
    <w:rsid w:val="00CF0B03"/>
    <w:rsid w:val="00CF5DB0"/>
    <w:rsid w:val="00CF7307"/>
    <w:rsid w:val="00D00DE9"/>
    <w:rsid w:val="00D03623"/>
    <w:rsid w:val="00D038B3"/>
    <w:rsid w:val="00D05FAC"/>
    <w:rsid w:val="00D06672"/>
    <w:rsid w:val="00D07022"/>
    <w:rsid w:val="00D10C40"/>
    <w:rsid w:val="00D10CAA"/>
    <w:rsid w:val="00D12CB2"/>
    <w:rsid w:val="00D13B35"/>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794D"/>
    <w:rsid w:val="00DB016C"/>
    <w:rsid w:val="00DB2060"/>
    <w:rsid w:val="00DB2BB8"/>
    <w:rsid w:val="00DB4F7D"/>
    <w:rsid w:val="00DB53F0"/>
    <w:rsid w:val="00DB7382"/>
    <w:rsid w:val="00DC09DA"/>
    <w:rsid w:val="00DC10E7"/>
    <w:rsid w:val="00DC1D92"/>
    <w:rsid w:val="00DC24AA"/>
    <w:rsid w:val="00DC5F90"/>
    <w:rsid w:val="00DC7BF6"/>
    <w:rsid w:val="00DD02B0"/>
    <w:rsid w:val="00DD05C5"/>
    <w:rsid w:val="00DD29D6"/>
    <w:rsid w:val="00DD379C"/>
    <w:rsid w:val="00DD4807"/>
    <w:rsid w:val="00DD5E7A"/>
    <w:rsid w:val="00DD7CB3"/>
    <w:rsid w:val="00DD7FF0"/>
    <w:rsid w:val="00DE05B0"/>
    <w:rsid w:val="00DE0CAB"/>
    <w:rsid w:val="00DE12DA"/>
    <w:rsid w:val="00DE1A88"/>
    <w:rsid w:val="00DE2E67"/>
    <w:rsid w:val="00DE458E"/>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35CF"/>
    <w:rsid w:val="00EB709C"/>
    <w:rsid w:val="00EB759C"/>
    <w:rsid w:val="00EC092D"/>
    <w:rsid w:val="00EC12C1"/>
    <w:rsid w:val="00EC1680"/>
    <w:rsid w:val="00EC1C31"/>
    <w:rsid w:val="00EC40C6"/>
    <w:rsid w:val="00EC6DA3"/>
    <w:rsid w:val="00ED28E1"/>
    <w:rsid w:val="00ED7CEC"/>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678C"/>
    <w:rsid w:val="00F37FBC"/>
    <w:rsid w:val="00F401CC"/>
    <w:rsid w:val="00F4055D"/>
    <w:rsid w:val="00F41DB4"/>
    <w:rsid w:val="00F42926"/>
    <w:rsid w:val="00F437EE"/>
    <w:rsid w:val="00F44719"/>
    <w:rsid w:val="00F45F9A"/>
    <w:rsid w:val="00F4741E"/>
    <w:rsid w:val="00F47BA4"/>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13FF"/>
    <w:rsid w:val="00F94308"/>
    <w:rsid w:val="00F950F1"/>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330981775">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4A587C80-565B-4996-B023-ED81C02F21C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101BY Search Warrant - Petroleum (Submerged Lands) Act</dc:title>
  <dc:subject/>
  <dc:creator/>
  <cp:keywords>Forms; Special</cp:keywords>
  <dc:description/>
  <cp:lastModifiedBy/>
  <cp:revision>1</cp:revision>
  <dcterms:created xsi:type="dcterms:W3CDTF">2024-08-05T02:11:00Z</dcterms:created>
  <dcterms:modified xsi:type="dcterms:W3CDTF">2024-08-05T02:11:00Z</dcterms:modified>
</cp:coreProperties>
</file>